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2D5" w:rsidRDefault="00C532D5" w:rsidP="00C532D5">
      <w:pPr>
        <w:jc w:val="center"/>
        <w:rPr>
          <w:b/>
          <w:sz w:val="28"/>
          <w:szCs w:val="28"/>
          <w:u w:val="single"/>
        </w:rPr>
      </w:pPr>
      <w:r>
        <w:rPr>
          <w:b/>
          <w:sz w:val="28"/>
          <w:szCs w:val="28"/>
          <w:u w:val="single"/>
        </w:rPr>
        <w:t>SOUTH AUSTRALIA</w:t>
      </w:r>
    </w:p>
    <w:p w:rsidR="00C532D5" w:rsidRDefault="00C532D5" w:rsidP="00C532D5">
      <w:pPr>
        <w:jc w:val="center"/>
        <w:rPr>
          <w:b/>
          <w:sz w:val="28"/>
          <w:szCs w:val="28"/>
          <w:u w:val="single"/>
        </w:rPr>
      </w:pPr>
    </w:p>
    <w:p w:rsidR="00C532D5" w:rsidRDefault="00C532D5" w:rsidP="00C532D5">
      <w:pPr>
        <w:jc w:val="center"/>
        <w:rPr>
          <w:b/>
          <w:sz w:val="28"/>
          <w:szCs w:val="28"/>
          <w:u w:val="single"/>
        </w:rPr>
      </w:pPr>
    </w:p>
    <w:p w:rsidR="00C532D5" w:rsidRDefault="00C532D5" w:rsidP="00C532D5">
      <w:pPr>
        <w:jc w:val="center"/>
        <w:rPr>
          <w:b/>
          <w:sz w:val="28"/>
          <w:szCs w:val="28"/>
          <w:u w:val="single"/>
        </w:rPr>
      </w:pPr>
      <w:r>
        <w:rPr>
          <w:b/>
          <w:sz w:val="28"/>
          <w:szCs w:val="28"/>
          <w:u w:val="single"/>
        </w:rPr>
        <w:t>DISTRICT COURT SPECIAL APPLICATIONS SUPPLEMENTARY RULES 2014</w:t>
      </w:r>
    </w:p>
    <w:p w:rsidR="00C532D5" w:rsidRDefault="00C532D5" w:rsidP="00C532D5">
      <w:pPr>
        <w:jc w:val="center"/>
        <w:rPr>
          <w:b/>
          <w:sz w:val="28"/>
          <w:szCs w:val="28"/>
          <w:u w:val="single"/>
        </w:rPr>
      </w:pPr>
    </w:p>
    <w:p w:rsidR="00C532D5" w:rsidRDefault="00C532D5" w:rsidP="00C532D5">
      <w:pPr>
        <w:jc w:val="both"/>
        <w:rPr>
          <w:sz w:val="28"/>
          <w:szCs w:val="28"/>
        </w:rPr>
      </w:pPr>
    </w:p>
    <w:p w:rsidR="00C532D5" w:rsidRDefault="00C532D5" w:rsidP="00C532D5">
      <w:pPr>
        <w:jc w:val="both"/>
        <w:rPr>
          <w:sz w:val="28"/>
          <w:szCs w:val="28"/>
        </w:rPr>
      </w:pPr>
    </w:p>
    <w:p w:rsidR="0059553C" w:rsidRDefault="0059553C" w:rsidP="0059553C">
      <w:pPr>
        <w:jc w:val="both"/>
        <w:rPr>
          <w:spacing w:val="-2"/>
          <w:szCs w:val="23"/>
        </w:rPr>
      </w:pPr>
      <w:r>
        <w:rPr>
          <w:spacing w:val="-2"/>
          <w:szCs w:val="23"/>
        </w:rPr>
        <w:t>The District Court Special Applications Supplementary Rule</w:t>
      </w:r>
      <w:r w:rsidR="00441965">
        <w:rPr>
          <w:spacing w:val="-2"/>
          <w:szCs w:val="23"/>
        </w:rPr>
        <w:t>s 2014, dated 16 September 2014</w:t>
      </w:r>
      <w:r>
        <w:rPr>
          <w:spacing w:val="-2"/>
          <w:szCs w:val="23"/>
        </w:rPr>
        <w:t xml:space="preserve"> </w:t>
      </w:r>
      <w:r w:rsidR="00441965">
        <w:rPr>
          <w:spacing w:val="-2"/>
          <w:szCs w:val="23"/>
        </w:rPr>
        <w:t>that came</w:t>
      </w:r>
      <w:r>
        <w:rPr>
          <w:spacing w:val="-2"/>
          <w:szCs w:val="23"/>
        </w:rPr>
        <w:t xml:space="preserve"> into </w:t>
      </w:r>
      <w:r>
        <w:rPr>
          <w:szCs w:val="23"/>
        </w:rPr>
        <w:t>operation</w:t>
      </w:r>
      <w:r>
        <w:rPr>
          <w:spacing w:val="-2"/>
          <w:szCs w:val="23"/>
        </w:rPr>
        <w:t xml:space="preserve"> on 1</w:t>
      </w:r>
      <w:r w:rsidRPr="00AE13CA">
        <w:rPr>
          <w:spacing w:val="-2"/>
          <w:szCs w:val="23"/>
          <w:vertAlign w:val="superscript"/>
        </w:rPr>
        <w:t>st</w:t>
      </w:r>
      <w:r>
        <w:rPr>
          <w:spacing w:val="-2"/>
          <w:szCs w:val="23"/>
        </w:rPr>
        <w:t xml:space="preserve"> October 2014 (</w:t>
      </w:r>
      <w:r>
        <w:rPr>
          <w:i/>
          <w:iCs/>
          <w:spacing w:val="-2"/>
          <w:szCs w:val="23"/>
        </w:rPr>
        <w:t>Government Gazette</w:t>
      </w:r>
      <w:r>
        <w:rPr>
          <w:spacing w:val="-2"/>
          <w:szCs w:val="23"/>
        </w:rPr>
        <w:t xml:space="preserve"> 19 September 2014, p. 5479)</w:t>
      </w:r>
      <w:r w:rsidR="00441965">
        <w:rPr>
          <w:spacing w:val="-2"/>
          <w:szCs w:val="23"/>
        </w:rPr>
        <w:t xml:space="preserve"> have been varied by District Court rules dated:</w:t>
      </w:r>
    </w:p>
    <w:p w:rsidR="00441965" w:rsidRDefault="00441965" w:rsidP="0059553C">
      <w:pPr>
        <w:jc w:val="both"/>
        <w:rPr>
          <w:spacing w:val="-2"/>
          <w:szCs w:val="23"/>
        </w:rPr>
      </w:pPr>
    </w:p>
    <w:tbl>
      <w:tblPr>
        <w:tblW w:w="9239" w:type="dxa"/>
        <w:tblLayout w:type="fixed"/>
        <w:tblLook w:val="04A0" w:firstRow="1" w:lastRow="0" w:firstColumn="1" w:lastColumn="0" w:noHBand="0" w:noVBand="1"/>
      </w:tblPr>
      <w:tblGrid>
        <w:gridCol w:w="675"/>
        <w:gridCol w:w="2552"/>
        <w:gridCol w:w="3006"/>
        <w:gridCol w:w="3006"/>
      </w:tblGrid>
      <w:tr w:rsidR="00441965" w:rsidTr="00441965">
        <w:tc>
          <w:tcPr>
            <w:tcW w:w="675" w:type="dxa"/>
          </w:tcPr>
          <w:p w:rsidR="00441965" w:rsidRDefault="00441965" w:rsidP="0028781C">
            <w:pPr>
              <w:tabs>
                <w:tab w:val="left" w:pos="3119"/>
                <w:tab w:val="left" w:pos="6237"/>
              </w:tabs>
              <w:suppressAutoHyphens/>
              <w:spacing w:after="60" w:line="240" w:lineRule="exact"/>
              <w:rPr>
                <w:spacing w:val="-2"/>
                <w:sz w:val="22"/>
              </w:rPr>
            </w:pPr>
          </w:p>
        </w:tc>
        <w:tc>
          <w:tcPr>
            <w:tcW w:w="2552" w:type="dxa"/>
          </w:tcPr>
          <w:p w:rsidR="00441965" w:rsidRDefault="00441965" w:rsidP="0028781C">
            <w:pPr>
              <w:tabs>
                <w:tab w:val="left" w:pos="3119"/>
                <w:tab w:val="left" w:pos="6237"/>
              </w:tabs>
              <w:suppressAutoHyphens/>
              <w:spacing w:after="60" w:line="240" w:lineRule="exact"/>
              <w:rPr>
                <w:i/>
                <w:iCs/>
                <w:spacing w:val="-2"/>
              </w:rPr>
            </w:pPr>
          </w:p>
        </w:tc>
        <w:tc>
          <w:tcPr>
            <w:tcW w:w="3006" w:type="dxa"/>
            <w:hideMark/>
          </w:tcPr>
          <w:p w:rsidR="00441965" w:rsidRDefault="00441965" w:rsidP="0028781C">
            <w:pPr>
              <w:tabs>
                <w:tab w:val="left" w:pos="3119"/>
                <w:tab w:val="left" w:pos="6237"/>
              </w:tabs>
              <w:suppressAutoHyphens/>
              <w:spacing w:after="60" w:line="240" w:lineRule="exact"/>
              <w:rPr>
                <w:i/>
                <w:iCs/>
                <w:spacing w:val="-2"/>
              </w:rPr>
            </w:pPr>
            <w:r>
              <w:rPr>
                <w:i/>
                <w:iCs/>
                <w:spacing w:val="-2"/>
                <w:lang w:val="en-US"/>
              </w:rPr>
              <w:t>Gazette</w:t>
            </w:r>
          </w:p>
        </w:tc>
        <w:tc>
          <w:tcPr>
            <w:tcW w:w="3006" w:type="dxa"/>
            <w:hideMark/>
          </w:tcPr>
          <w:p w:rsidR="00441965" w:rsidRDefault="00441965" w:rsidP="0028781C">
            <w:pPr>
              <w:tabs>
                <w:tab w:val="left" w:pos="3119"/>
                <w:tab w:val="left" w:pos="6237"/>
              </w:tabs>
              <w:suppressAutoHyphens/>
              <w:spacing w:after="60" w:line="240" w:lineRule="exact"/>
              <w:rPr>
                <w:i/>
                <w:iCs/>
                <w:spacing w:val="-2"/>
              </w:rPr>
            </w:pPr>
            <w:r>
              <w:rPr>
                <w:i/>
                <w:iCs/>
                <w:spacing w:val="-2"/>
                <w:lang w:val="en-US"/>
              </w:rPr>
              <w:t>Date of operation</w:t>
            </w:r>
          </w:p>
        </w:tc>
      </w:tr>
      <w:tr w:rsidR="00441965" w:rsidRPr="00A31C64" w:rsidTr="00441965">
        <w:tc>
          <w:tcPr>
            <w:tcW w:w="675" w:type="dxa"/>
          </w:tcPr>
          <w:p w:rsidR="00441965" w:rsidRPr="00A31C64" w:rsidRDefault="00A31C64" w:rsidP="0028781C">
            <w:pPr>
              <w:tabs>
                <w:tab w:val="left" w:pos="709"/>
                <w:tab w:val="left" w:pos="3119"/>
                <w:tab w:val="left" w:pos="6237"/>
              </w:tabs>
              <w:suppressAutoHyphens/>
              <w:spacing w:after="60" w:line="240" w:lineRule="exact"/>
              <w:rPr>
                <w:spacing w:val="-2"/>
              </w:rPr>
            </w:pPr>
            <w:r>
              <w:rPr>
                <w:spacing w:val="-2"/>
              </w:rPr>
              <w:t>1</w:t>
            </w:r>
            <w:r w:rsidR="00441965" w:rsidRPr="00A31C64">
              <w:rPr>
                <w:spacing w:val="-2"/>
              </w:rPr>
              <w:t>1</w:t>
            </w:r>
          </w:p>
        </w:tc>
        <w:tc>
          <w:tcPr>
            <w:tcW w:w="2552" w:type="dxa"/>
          </w:tcPr>
          <w:p w:rsidR="00441965" w:rsidRPr="00A31C64" w:rsidRDefault="000F0EF3" w:rsidP="0028781C">
            <w:pPr>
              <w:tabs>
                <w:tab w:val="left" w:pos="709"/>
                <w:tab w:val="left" w:pos="3119"/>
                <w:tab w:val="left" w:pos="6237"/>
              </w:tabs>
              <w:suppressAutoHyphens/>
              <w:spacing w:after="60" w:line="240" w:lineRule="exact"/>
              <w:rPr>
                <w:spacing w:val="-2"/>
              </w:rPr>
            </w:pPr>
            <w:r w:rsidRPr="00A31C64">
              <w:rPr>
                <w:spacing w:val="-2"/>
              </w:rPr>
              <w:t>24 November 2015</w:t>
            </w:r>
          </w:p>
        </w:tc>
        <w:tc>
          <w:tcPr>
            <w:tcW w:w="3006" w:type="dxa"/>
          </w:tcPr>
          <w:p w:rsidR="00441965" w:rsidRPr="00A31C64" w:rsidRDefault="00441965" w:rsidP="000F0EF3">
            <w:pPr>
              <w:tabs>
                <w:tab w:val="left" w:pos="709"/>
                <w:tab w:val="left" w:pos="3119"/>
                <w:tab w:val="left" w:pos="6237"/>
              </w:tabs>
              <w:suppressAutoHyphens/>
              <w:spacing w:after="60" w:line="240" w:lineRule="exact"/>
              <w:rPr>
                <w:spacing w:val="-2"/>
              </w:rPr>
            </w:pPr>
            <w:r w:rsidRPr="00A31C64">
              <w:rPr>
                <w:spacing w:val="-2"/>
              </w:rPr>
              <w:t xml:space="preserve">26 November 2015, p. </w:t>
            </w:r>
            <w:r w:rsidR="000F0EF3" w:rsidRPr="00A31C64">
              <w:rPr>
                <w:spacing w:val="-2"/>
              </w:rPr>
              <w:t>5067</w:t>
            </w:r>
          </w:p>
        </w:tc>
        <w:tc>
          <w:tcPr>
            <w:tcW w:w="3006" w:type="dxa"/>
          </w:tcPr>
          <w:p w:rsidR="00441965" w:rsidRPr="00A31C64" w:rsidRDefault="00441965" w:rsidP="0028781C">
            <w:pPr>
              <w:tabs>
                <w:tab w:val="left" w:pos="709"/>
                <w:tab w:val="left" w:pos="3119"/>
                <w:tab w:val="left" w:pos="6237"/>
              </w:tabs>
              <w:suppressAutoHyphens/>
              <w:spacing w:after="60" w:line="240" w:lineRule="exact"/>
              <w:rPr>
                <w:spacing w:val="-2"/>
              </w:rPr>
            </w:pPr>
            <w:r w:rsidRPr="00A31C64">
              <w:rPr>
                <w:spacing w:val="-2"/>
              </w:rPr>
              <w:t>1 December 2015</w:t>
            </w:r>
          </w:p>
        </w:tc>
      </w:tr>
      <w:tr w:rsidR="00441965" w:rsidRPr="00A31C64" w:rsidTr="00441965">
        <w:tc>
          <w:tcPr>
            <w:tcW w:w="675" w:type="dxa"/>
          </w:tcPr>
          <w:p w:rsidR="00441965" w:rsidRPr="00A31C64" w:rsidRDefault="00A31C64" w:rsidP="0028781C">
            <w:pPr>
              <w:tabs>
                <w:tab w:val="left" w:pos="709"/>
                <w:tab w:val="left" w:pos="3119"/>
                <w:tab w:val="left" w:pos="6237"/>
              </w:tabs>
              <w:suppressAutoHyphens/>
              <w:spacing w:after="60" w:line="240" w:lineRule="exact"/>
              <w:rPr>
                <w:b/>
                <w:spacing w:val="-2"/>
              </w:rPr>
            </w:pPr>
            <w:r w:rsidRPr="00A31C64">
              <w:rPr>
                <w:b/>
                <w:spacing w:val="-2"/>
              </w:rPr>
              <w:t>2</w:t>
            </w:r>
          </w:p>
        </w:tc>
        <w:tc>
          <w:tcPr>
            <w:tcW w:w="2552" w:type="dxa"/>
          </w:tcPr>
          <w:p w:rsidR="00441965" w:rsidRPr="00A31C64" w:rsidRDefault="00A31C64" w:rsidP="0028781C">
            <w:pPr>
              <w:tabs>
                <w:tab w:val="left" w:pos="709"/>
                <w:tab w:val="left" w:pos="3119"/>
                <w:tab w:val="left" w:pos="6237"/>
              </w:tabs>
              <w:suppressAutoHyphens/>
              <w:spacing w:after="60" w:line="240" w:lineRule="exact"/>
              <w:rPr>
                <w:b/>
                <w:spacing w:val="-2"/>
              </w:rPr>
            </w:pPr>
            <w:r w:rsidRPr="00A31C64">
              <w:rPr>
                <w:b/>
                <w:spacing w:val="-2"/>
              </w:rPr>
              <w:t>22 November 2017</w:t>
            </w:r>
          </w:p>
        </w:tc>
        <w:tc>
          <w:tcPr>
            <w:tcW w:w="3006" w:type="dxa"/>
          </w:tcPr>
          <w:p w:rsidR="00441965" w:rsidRPr="00A31C64" w:rsidRDefault="00A31C64" w:rsidP="0028781C">
            <w:pPr>
              <w:tabs>
                <w:tab w:val="left" w:pos="709"/>
                <w:tab w:val="left" w:pos="3119"/>
                <w:tab w:val="left" w:pos="6237"/>
              </w:tabs>
              <w:suppressAutoHyphens/>
              <w:spacing w:after="60" w:line="240" w:lineRule="exact"/>
              <w:rPr>
                <w:b/>
                <w:spacing w:val="-2"/>
              </w:rPr>
            </w:pPr>
            <w:r w:rsidRPr="00A31C64">
              <w:rPr>
                <w:b/>
                <w:spacing w:val="-2"/>
              </w:rPr>
              <w:t>28 November 2017, p. 4774</w:t>
            </w:r>
          </w:p>
        </w:tc>
        <w:tc>
          <w:tcPr>
            <w:tcW w:w="3006" w:type="dxa"/>
          </w:tcPr>
          <w:p w:rsidR="00441965" w:rsidRPr="00A31C64" w:rsidRDefault="00A31C64" w:rsidP="0028781C">
            <w:pPr>
              <w:tabs>
                <w:tab w:val="left" w:pos="709"/>
                <w:tab w:val="left" w:pos="3119"/>
                <w:tab w:val="left" w:pos="6237"/>
              </w:tabs>
              <w:suppressAutoHyphens/>
              <w:spacing w:after="60" w:line="240" w:lineRule="exact"/>
              <w:rPr>
                <w:b/>
                <w:spacing w:val="-2"/>
              </w:rPr>
            </w:pPr>
            <w:r w:rsidRPr="00A31C64">
              <w:rPr>
                <w:b/>
                <w:spacing w:val="-2"/>
              </w:rPr>
              <w:t>18 December 2017</w:t>
            </w:r>
          </w:p>
        </w:tc>
      </w:tr>
      <w:tr w:rsidR="00441965" w:rsidTr="00441965">
        <w:tc>
          <w:tcPr>
            <w:tcW w:w="675" w:type="dxa"/>
          </w:tcPr>
          <w:p w:rsidR="00441965" w:rsidRDefault="00441965" w:rsidP="0028781C">
            <w:pPr>
              <w:tabs>
                <w:tab w:val="left" w:pos="709"/>
                <w:tab w:val="left" w:pos="3119"/>
                <w:tab w:val="left" w:pos="6237"/>
              </w:tabs>
              <w:suppressAutoHyphens/>
              <w:spacing w:after="60" w:line="240" w:lineRule="exact"/>
              <w:rPr>
                <w:spacing w:val="-2"/>
              </w:rPr>
            </w:pPr>
          </w:p>
        </w:tc>
        <w:tc>
          <w:tcPr>
            <w:tcW w:w="2552" w:type="dxa"/>
          </w:tcPr>
          <w:p w:rsidR="00441965" w:rsidRDefault="00441965" w:rsidP="0028781C">
            <w:pPr>
              <w:tabs>
                <w:tab w:val="left" w:pos="709"/>
                <w:tab w:val="left" w:pos="3119"/>
                <w:tab w:val="left" w:pos="6237"/>
              </w:tabs>
              <w:suppressAutoHyphens/>
              <w:spacing w:after="60" w:line="240" w:lineRule="exact"/>
              <w:rPr>
                <w:spacing w:val="-2"/>
              </w:rPr>
            </w:pPr>
          </w:p>
        </w:tc>
        <w:tc>
          <w:tcPr>
            <w:tcW w:w="3006" w:type="dxa"/>
          </w:tcPr>
          <w:p w:rsidR="00441965" w:rsidRDefault="00441965" w:rsidP="0028781C">
            <w:pPr>
              <w:tabs>
                <w:tab w:val="left" w:pos="709"/>
                <w:tab w:val="left" w:pos="3119"/>
                <w:tab w:val="left" w:pos="6237"/>
              </w:tabs>
              <w:suppressAutoHyphens/>
              <w:spacing w:after="60" w:line="240" w:lineRule="exact"/>
              <w:rPr>
                <w:spacing w:val="-2"/>
              </w:rPr>
            </w:pPr>
          </w:p>
        </w:tc>
        <w:tc>
          <w:tcPr>
            <w:tcW w:w="3006" w:type="dxa"/>
          </w:tcPr>
          <w:p w:rsidR="00441965" w:rsidRDefault="00441965" w:rsidP="0028781C">
            <w:pPr>
              <w:tabs>
                <w:tab w:val="left" w:pos="709"/>
                <w:tab w:val="left" w:pos="3119"/>
                <w:tab w:val="left" w:pos="6237"/>
              </w:tabs>
              <w:suppressAutoHyphens/>
              <w:spacing w:after="60" w:line="240" w:lineRule="exact"/>
              <w:rPr>
                <w:spacing w:val="-2"/>
              </w:rPr>
            </w:pPr>
          </w:p>
        </w:tc>
      </w:tr>
    </w:tbl>
    <w:p w:rsidR="00441965" w:rsidRPr="00441965" w:rsidRDefault="00441965" w:rsidP="00441965">
      <w:pPr>
        <w:jc w:val="both"/>
      </w:pPr>
      <w:r w:rsidRPr="00441965">
        <w:t xml:space="preserve">By virtue and in pursuance of Section 51 of the </w:t>
      </w:r>
      <w:r w:rsidRPr="00441965">
        <w:rPr>
          <w:i/>
        </w:rPr>
        <w:t>District Court Act 1991</w:t>
      </w:r>
      <w:r w:rsidRPr="00441965">
        <w:t xml:space="preserve"> and all other enabling powers, we, Geoffrey Louis Muecke, Chief Judge, and Rauf Soulio and Paul Vincent Slattery, Judges of the District Court of South Australia, make the following Rules of Court.</w:t>
      </w:r>
    </w:p>
    <w:p w:rsidR="00441965" w:rsidRPr="00441965" w:rsidRDefault="00441965" w:rsidP="0059553C">
      <w:pPr>
        <w:jc w:val="both"/>
        <w:rPr>
          <w:b/>
        </w:rPr>
      </w:pPr>
    </w:p>
    <w:p w:rsidR="00C532D5" w:rsidRDefault="00C532D5" w:rsidP="00C532D5">
      <w:pPr>
        <w:pStyle w:val="Chapter"/>
      </w:pPr>
      <w:r>
        <w:t>Chapter 1</w:t>
      </w:r>
      <w:r w:rsidRPr="00673DAF">
        <w:rPr>
          <w:b w:val="0"/>
        </w:rPr>
        <w:t>—</w:t>
      </w:r>
      <w:r>
        <w:t>Preliminary</w:t>
      </w:r>
    </w:p>
    <w:p w:rsidR="00C532D5" w:rsidRDefault="00C532D5" w:rsidP="00C532D5">
      <w:pPr>
        <w:pStyle w:val="Part"/>
      </w:pPr>
      <w:r>
        <w:t>Part 1</w:t>
      </w:r>
      <w:r w:rsidRPr="00673DAF">
        <w:rPr>
          <w:b w:val="0"/>
        </w:rPr>
        <w:t>—</w:t>
      </w:r>
      <w:r>
        <w:t>Formal provisions</w:t>
      </w:r>
    </w:p>
    <w:p w:rsidR="00C532D5" w:rsidRDefault="00C532D5" w:rsidP="00C532D5">
      <w:pPr>
        <w:pStyle w:val="clausehead"/>
      </w:pPr>
      <w:bookmarkStart w:id="0" w:name="_Toc387227227"/>
      <w:bookmarkStart w:id="1" w:name="_Toc387227482"/>
      <w:bookmarkStart w:id="2" w:name="_Toc387227736"/>
      <w:bookmarkStart w:id="3" w:name="_Toc387227848"/>
      <w:bookmarkStart w:id="4" w:name="_Toc387227957"/>
      <w:bookmarkStart w:id="5" w:name="_Toc387228001"/>
      <w:bookmarkStart w:id="6" w:name="_Toc387228220"/>
      <w:bookmarkStart w:id="7" w:name="_Toc387228325"/>
      <w:bookmarkStart w:id="8" w:name="_Toc387228541"/>
      <w:bookmarkStart w:id="9" w:name="_Toc387228619"/>
      <w:bookmarkStart w:id="10" w:name="_Toc387746931"/>
      <w:bookmarkStart w:id="11" w:name="_Toc387747258"/>
      <w:bookmarkStart w:id="12" w:name="_Toc387747322"/>
      <w:bookmarkStart w:id="13" w:name="_Toc387747605"/>
      <w:bookmarkStart w:id="14" w:name="_Toc387748038"/>
      <w:bookmarkStart w:id="15" w:name="_Toc387748093"/>
      <w:bookmarkStart w:id="16" w:name="_Toc390154896"/>
      <w:bookmarkStart w:id="17" w:name="_Toc390155118"/>
      <w:bookmarkStart w:id="18" w:name="_Toc390179953"/>
      <w:bookmarkStart w:id="19" w:name="_Toc390866072"/>
      <w:bookmarkStart w:id="20" w:name="_Toc390866155"/>
      <w:bookmarkStart w:id="21" w:name="_Toc394328924"/>
      <w:bookmarkStart w:id="22" w:name="_Toc394329032"/>
      <w:bookmarkStart w:id="23" w:name="_Toc394329085"/>
      <w:bookmarkStart w:id="24" w:name="_Toc394391419"/>
      <w:bookmarkStart w:id="25" w:name="_Toc394391582"/>
      <w:bookmarkStart w:id="26" w:name="_Toc394397793"/>
      <w:bookmarkStart w:id="27" w:name="_Toc394502061"/>
      <w:bookmarkStart w:id="28" w:name="_Toc395259319"/>
      <w:r>
        <w:t>1—Citation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C532D5" w:rsidRPr="00610487" w:rsidRDefault="00C532D5" w:rsidP="00C532D5">
      <w:pPr>
        <w:pStyle w:val="IndentedPara"/>
        <w:rPr>
          <w:sz w:val="24"/>
          <w:szCs w:val="24"/>
        </w:rPr>
      </w:pPr>
      <w:r w:rsidRPr="00610487">
        <w:rPr>
          <w:sz w:val="24"/>
          <w:szCs w:val="24"/>
        </w:rPr>
        <w:t xml:space="preserve">These Supplementary Rules may be cited as the </w:t>
      </w:r>
      <w:r>
        <w:rPr>
          <w:i/>
          <w:sz w:val="24"/>
          <w:szCs w:val="24"/>
        </w:rPr>
        <w:t xml:space="preserve">District </w:t>
      </w:r>
      <w:r w:rsidRPr="00610487">
        <w:rPr>
          <w:i/>
          <w:sz w:val="24"/>
          <w:szCs w:val="24"/>
        </w:rPr>
        <w:t>Court Special Applications Supplementary Rules</w:t>
      </w:r>
      <w:r w:rsidRPr="00610487">
        <w:rPr>
          <w:sz w:val="24"/>
          <w:szCs w:val="24"/>
        </w:rPr>
        <w:t xml:space="preserve"> </w:t>
      </w:r>
      <w:r w:rsidRPr="00610487">
        <w:rPr>
          <w:i/>
          <w:sz w:val="24"/>
          <w:szCs w:val="24"/>
        </w:rPr>
        <w:t>2014</w:t>
      </w:r>
      <w:r w:rsidRPr="00610487">
        <w:rPr>
          <w:sz w:val="24"/>
          <w:szCs w:val="24"/>
        </w:rPr>
        <w:t>.</w:t>
      </w:r>
    </w:p>
    <w:p w:rsidR="00C532D5" w:rsidRDefault="00C532D5" w:rsidP="00C532D5">
      <w:pPr>
        <w:pStyle w:val="clausehead"/>
      </w:pPr>
      <w:bookmarkStart w:id="29" w:name="_Toc387227228"/>
      <w:bookmarkStart w:id="30" w:name="_Toc387227483"/>
      <w:bookmarkStart w:id="31" w:name="_Toc387227737"/>
      <w:bookmarkStart w:id="32" w:name="_Toc387227849"/>
      <w:bookmarkStart w:id="33" w:name="_Toc387227958"/>
      <w:bookmarkStart w:id="34" w:name="_Toc387228002"/>
      <w:bookmarkStart w:id="35" w:name="_Toc387228221"/>
      <w:bookmarkStart w:id="36" w:name="_Toc387228326"/>
      <w:bookmarkStart w:id="37" w:name="_Toc387228542"/>
      <w:bookmarkStart w:id="38" w:name="_Toc387228620"/>
      <w:bookmarkStart w:id="39" w:name="_Toc387746932"/>
      <w:bookmarkStart w:id="40" w:name="_Toc387747259"/>
      <w:bookmarkStart w:id="41" w:name="_Toc387747323"/>
      <w:bookmarkStart w:id="42" w:name="_Toc387747606"/>
      <w:bookmarkStart w:id="43" w:name="_Toc387748039"/>
      <w:bookmarkStart w:id="44" w:name="_Toc387748094"/>
      <w:bookmarkStart w:id="45" w:name="_Toc390154897"/>
      <w:bookmarkStart w:id="46" w:name="_Toc390155119"/>
      <w:bookmarkStart w:id="47" w:name="_Toc390179954"/>
      <w:bookmarkStart w:id="48" w:name="_Toc390866073"/>
      <w:bookmarkStart w:id="49" w:name="_Toc390866156"/>
      <w:bookmarkStart w:id="50" w:name="_Toc394328925"/>
      <w:bookmarkStart w:id="51" w:name="_Toc394329033"/>
      <w:bookmarkStart w:id="52" w:name="_Toc394329086"/>
      <w:bookmarkStart w:id="53" w:name="_Toc394391420"/>
      <w:bookmarkStart w:id="54" w:name="_Toc394391583"/>
      <w:bookmarkStart w:id="55" w:name="_Toc394397794"/>
      <w:bookmarkStart w:id="56" w:name="_Toc394502062"/>
      <w:bookmarkStart w:id="57" w:name="_Toc395259320"/>
      <w:r>
        <w:t>2—Commencement</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C532D5" w:rsidRPr="00610487" w:rsidRDefault="00C532D5" w:rsidP="00C532D5">
      <w:pPr>
        <w:pStyle w:val="IndentedPara"/>
        <w:rPr>
          <w:sz w:val="24"/>
          <w:szCs w:val="24"/>
        </w:rPr>
      </w:pPr>
      <w:r w:rsidRPr="00610487">
        <w:rPr>
          <w:sz w:val="24"/>
          <w:szCs w:val="24"/>
        </w:rPr>
        <w:t>These Supplementary Rules commence on 1 October 2014.</w:t>
      </w:r>
    </w:p>
    <w:p w:rsidR="00C532D5" w:rsidRDefault="00C532D5" w:rsidP="00C532D5">
      <w:pPr>
        <w:pStyle w:val="Chapter"/>
      </w:pPr>
      <w:r>
        <w:t>Chapter 2—General Procedural Rules</w:t>
      </w:r>
    </w:p>
    <w:p w:rsidR="00C532D5" w:rsidRDefault="00C532D5" w:rsidP="00C532D5">
      <w:pPr>
        <w:pStyle w:val="clausehead"/>
      </w:pPr>
      <w:bookmarkStart w:id="58" w:name="_Toc387227229"/>
      <w:bookmarkStart w:id="59" w:name="_Toc387227484"/>
      <w:bookmarkStart w:id="60" w:name="_Toc387227738"/>
      <w:bookmarkStart w:id="61" w:name="_Toc387227850"/>
      <w:bookmarkStart w:id="62" w:name="_Toc387227959"/>
      <w:bookmarkStart w:id="63" w:name="_Toc387228003"/>
      <w:bookmarkStart w:id="64" w:name="_Toc387228222"/>
      <w:bookmarkStart w:id="65" w:name="_Toc387228327"/>
      <w:bookmarkStart w:id="66" w:name="_Toc387228543"/>
      <w:bookmarkStart w:id="67" w:name="_Toc387228621"/>
      <w:bookmarkStart w:id="68" w:name="_Toc387746933"/>
      <w:bookmarkStart w:id="69" w:name="_Toc387747260"/>
      <w:bookmarkStart w:id="70" w:name="_Toc387747607"/>
      <w:bookmarkStart w:id="71" w:name="_Toc387748040"/>
      <w:bookmarkStart w:id="72" w:name="_Toc387748095"/>
      <w:bookmarkStart w:id="73" w:name="_Toc390154898"/>
      <w:bookmarkStart w:id="74" w:name="_Toc390155120"/>
      <w:bookmarkStart w:id="75" w:name="_Toc390179955"/>
      <w:bookmarkStart w:id="76" w:name="_Toc390866074"/>
      <w:bookmarkStart w:id="77" w:name="_Toc390866157"/>
      <w:bookmarkStart w:id="78" w:name="_Toc394328926"/>
      <w:bookmarkStart w:id="79" w:name="_Toc394329034"/>
      <w:bookmarkStart w:id="80" w:name="_Toc394329087"/>
      <w:bookmarkStart w:id="81" w:name="_Toc394391421"/>
      <w:bookmarkStart w:id="82" w:name="_Toc394391584"/>
      <w:bookmarkStart w:id="83" w:name="_Toc394397795"/>
      <w:bookmarkStart w:id="84" w:name="_Toc394502063"/>
      <w:bookmarkStart w:id="85" w:name="_Toc395259321"/>
      <w:r>
        <w:t>3—Approved forms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C532D5" w:rsidRDefault="00C532D5" w:rsidP="00C532D5">
      <w:pPr>
        <w:pStyle w:val="IndentedPara"/>
        <w:rPr>
          <w:sz w:val="24"/>
          <w:szCs w:val="24"/>
        </w:rPr>
      </w:pPr>
      <w:r w:rsidRPr="00610487">
        <w:rPr>
          <w:sz w:val="24"/>
          <w:szCs w:val="24"/>
        </w:rPr>
        <w:t>The forms contained in the Schedule to these Supplementary Rules are approved forms for the purposes shown.</w:t>
      </w:r>
    </w:p>
    <w:p w:rsidR="000260B9" w:rsidRPr="000260B9" w:rsidRDefault="000260B9" w:rsidP="000260B9">
      <w:pPr>
        <w:pStyle w:val="Hangindent"/>
        <w:ind w:left="567"/>
        <w:rPr>
          <w:b/>
          <w:sz w:val="32"/>
          <w:szCs w:val="32"/>
          <w:lang w:val="en-US"/>
        </w:rPr>
      </w:pPr>
      <w:r w:rsidRPr="000260B9">
        <w:rPr>
          <w:b/>
          <w:sz w:val="32"/>
          <w:szCs w:val="32"/>
          <w:lang w:val="en-US"/>
        </w:rPr>
        <w:t>History of amendment</w:t>
      </w:r>
    </w:p>
    <w:p w:rsidR="000260B9" w:rsidRDefault="000260B9">
      <w:pPr>
        <w:rPr>
          <w:rFonts w:eastAsia="Calibri"/>
          <w:sz w:val="23"/>
          <w:szCs w:val="23"/>
          <w:lang w:val="en-US"/>
        </w:rPr>
      </w:pPr>
      <w:r>
        <w:rPr>
          <w:lang w:val="en-US"/>
        </w:rPr>
        <w:br w:type="page"/>
      </w:r>
    </w:p>
    <w:p w:rsidR="000260B9" w:rsidRPr="009116D5" w:rsidRDefault="000260B9" w:rsidP="000260B9">
      <w:pPr>
        <w:pStyle w:val="Chapter"/>
      </w:pPr>
      <w:bookmarkStart w:id="86" w:name="_Toc433204082"/>
      <w:r w:rsidRPr="009116D5">
        <w:lastRenderedPageBreak/>
        <w:t>History of Amendment</w:t>
      </w:r>
      <w:bookmarkEnd w:id="86"/>
    </w:p>
    <w:p w:rsidR="000260B9" w:rsidRPr="00EB2E55" w:rsidRDefault="000260B9" w:rsidP="000260B9"/>
    <w:tbl>
      <w:tblPr>
        <w:tblW w:w="911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5"/>
        <w:gridCol w:w="3827"/>
        <w:gridCol w:w="3119"/>
      </w:tblGrid>
      <w:tr w:rsidR="000260B9" w:rsidRPr="00A31C64" w:rsidTr="000260B9">
        <w:trPr>
          <w:cantSplit/>
          <w:tblHeader/>
        </w:trPr>
        <w:tc>
          <w:tcPr>
            <w:tcW w:w="2165" w:type="dxa"/>
            <w:tcBorders>
              <w:bottom w:val="double" w:sz="4" w:space="0" w:color="auto"/>
            </w:tcBorders>
            <w:noWrap/>
            <w:tcMar>
              <w:top w:w="15" w:type="dxa"/>
              <w:left w:w="360" w:type="dxa"/>
              <w:bottom w:w="0" w:type="dxa"/>
              <w:right w:w="15" w:type="dxa"/>
            </w:tcMar>
          </w:tcPr>
          <w:p w:rsidR="000260B9" w:rsidRPr="00A31C64" w:rsidRDefault="000260B9" w:rsidP="0028781C">
            <w:pPr>
              <w:spacing w:before="60" w:after="60"/>
              <w:rPr>
                <w:b/>
                <w:bCs/>
              </w:rPr>
            </w:pPr>
            <w:r w:rsidRPr="00A31C64">
              <w:rPr>
                <w:b/>
                <w:bCs/>
              </w:rPr>
              <w:t>Rules</w:t>
            </w:r>
          </w:p>
        </w:tc>
        <w:tc>
          <w:tcPr>
            <w:tcW w:w="3827" w:type="dxa"/>
            <w:tcBorders>
              <w:bottom w:val="double" w:sz="4" w:space="0" w:color="auto"/>
            </w:tcBorders>
            <w:noWrap/>
            <w:tcMar>
              <w:top w:w="15" w:type="dxa"/>
              <w:left w:w="15" w:type="dxa"/>
              <w:bottom w:w="0" w:type="dxa"/>
              <w:right w:w="15" w:type="dxa"/>
            </w:tcMar>
          </w:tcPr>
          <w:p w:rsidR="000260B9" w:rsidRPr="00A31C64" w:rsidRDefault="000260B9" w:rsidP="0028781C">
            <w:pPr>
              <w:spacing w:before="60" w:after="60"/>
              <w:jc w:val="center"/>
              <w:rPr>
                <w:b/>
                <w:bCs/>
              </w:rPr>
            </w:pPr>
            <w:r w:rsidRPr="00A31C64">
              <w:rPr>
                <w:b/>
                <w:bCs/>
              </w:rPr>
              <w:t>Amendments</w:t>
            </w:r>
          </w:p>
        </w:tc>
        <w:tc>
          <w:tcPr>
            <w:tcW w:w="3119" w:type="dxa"/>
            <w:tcBorders>
              <w:bottom w:val="double" w:sz="4" w:space="0" w:color="auto"/>
            </w:tcBorders>
            <w:noWrap/>
            <w:tcMar>
              <w:top w:w="15" w:type="dxa"/>
              <w:left w:w="15" w:type="dxa"/>
              <w:bottom w:w="0" w:type="dxa"/>
              <w:right w:w="15" w:type="dxa"/>
            </w:tcMar>
          </w:tcPr>
          <w:p w:rsidR="000260B9" w:rsidRPr="00A31C64" w:rsidRDefault="000260B9" w:rsidP="0028781C">
            <w:pPr>
              <w:spacing w:before="60" w:after="60"/>
              <w:jc w:val="center"/>
              <w:rPr>
                <w:b/>
                <w:bCs/>
              </w:rPr>
            </w:pPr>
            <w:r w:rsidRPr="00A31C64">
              <w:rPr>
                <w:b/>
                <w:bCs/>
              </w:rPr>
              <w:t>Date of Operation</w:t>
            </w:r>
          </w:p>
        </w:tc>
      </w:tr>
      <w:tr w:rsidR="000260B9" w:rsidRPr="00A31C64" w:rsidTr="000260B9">
        <w:trPr>
          <w:cantSplit/>
          <w:tblHeader/>
        </w:trPr>
        <w:tc>
          <w:tcPr>
            <w:tcW w:w="9111" w:type="dxa"/>
            <w:gridSpan w:val="3"/>
            <w:tcBorders>
              <w:top w:val="double" w:sz="4" w:space="0" w:color="auto"/>
              <w:bottom w:val="double" w:sz="4" w:space="0" w:color="auto"/>
            </w:tcBorders>
            <w:noWrap/>
            <w:tcMar>
              <w:top w:w="15" w:type="dxa"/>
              <w:left w:w="360" w:type="dxa"/>
              <w:bottom w:w="0" w:type="dxa"/>
              <w:right w:w="15" w:type="dxa"/>
            </w:tcMar>
          </w:tcPr>
          <w:p w:rsidR="000260B9" w:rsidRPr="00A31C64" w:rsidRDefault="000260B9" w:rsidP="0028781C">
            <w:pPr>
              <w:spacing w:before="60" w:after="60"/>
              <w:jc w:val="center"/>
            </w:pPr>
            <w:r w:rsidRPr="00A31C64">
              <w:t xml:space="preserve">am = amended; del = deleted; ins = inserted; </w:t>
            </w:r>
            <w:proofErr w:type="spellStart"/>
            <w:r w:rsidRPr="00A31C64">
              <w:t>ren</w:t>
            </w:r>
            <w:proofErr w:type="spellEnd"/>
            <w:r w:rsidRPr="00A31C64">
              <w:t xml:space="preserve"> = renumbered; </w:t>
            </w:r>
            <w:r w:rsidRPr="00A31C64">
              <w:br/>
              <w:t>sub = substituted</w:t>
            </w:r>
          </w:p>
        </w:tc>
      </w:tr>
      <w:tr w:rsidR="000260B9" w:rsidRPr="00A31C64" w:rsidTr="000260B9">
        <w:trPr>
          <w:cantSplit/>
        </w:trPr>
        <w:tc>
          <w:tcPr>
            <w:tcW w:w="2165" w:type="dxa"/>
            <w:noWrap/>
            <w:tcMar>
              <w:top w:w="15" w:type="dxa"/>
              <w:left w:w="360" w:type="dxa"/>
              <w:bottom w:w="0" w:type="dxa"/>
              <w:right w:w="15" w:type="dxa"/>
            </w:tcMar>
          </w:tcPr>
          <w:p w:rsidR="000260B9" w:rsidRPr="00A31C64" w:rsidRDefault="000260B9" w:rsidP="0028781C">
            <w:pPr>
              <w:spacing w:before="60"/>
              <w:ind w:firstLineChars="100" w:firstLine="241"/>
              <w:rPr>
                <w:b/>
              </w:rPr>
            </w:pPr>
            <w:r w:rsidRPr="00A31C64">
              <w:rPr>
                <w:b/>
              </w:rPr>
              <w:t>Form SA9</w:t>
            </w:r>
          </w:p>
        </w:tc>
        <w:tc>
          <w:tcPr>
            <w:tcW w:w="3827" w:type="dxa"/>
            <w:noWrap/>
            <w:tcMar>
              <w:top w:w="15" w:type="dxa"/>
              <w:left w:w="15" w:type="dxa"/>
              <w:bottom w:w="0" w:type="dxa"/>
              <w:right w:w="15" w:type="dxa"/>
            </w:tcMar>
          </w:tcPr>
          <w:p w:rsidR="000260B9" w:rsidRPr="00A31C64" w:rsidRDefault="000260B9" w:rsidP="00A31C64">
            <w:pPr>
              <w:jc w:val="center"/>
            </w:pPr>
            <w:r w:rsidRPr="00A31C64">
              <w:t>sub am01</w:t>
            </w:r>
          </w:p>
          <w:p w:rsidR="00A31C64" w:rsidRPr="00A31C64" w:rsidRDefault="00A31C64" w:rsidP="00A31C64">
            <w:pPr>
              <w:jc w:val="center"/>
              <w:rPr>
                <w:b/>
              </w:rPr>
            </w:pPr>
            <w:r w:rsidRPr="00A31C64">
              <w:rPr>
                <w:b/>
              </w:rPr>
              <w:t>sub am02</w:t>
            </w:r>
          </w:p>
        </w:tc>
        <w:tc>
          <w:tcPr>
            <w:tcW w:w="3119" w:type="dxa"/>
            <w:noWrap/>
            <w:tcMar>
              <w:top w:w="15" w:type="dxa"/>
              <w:left w:w="15" w:type="dxa"/>
              <w:bottom w:w="0" w:type="dxa"/>
              <w:right w:w="15" w:type="dxa"/>
            </w:tcMar>
          </w:tcPr>
          <w:p w:rsidR="000260B9" w:rsidRPr="00A31C64" w:rsidRDefault="000260B9" w:rsidP="00A31C64">
            <w:pPr>
              <w:jc w:val="center"/>
            </w:pPr>
            <w:r w:rsidRPr="00A31C64">
              <w:t>1 December 2015</w:t>
            </w:r>
          </w:p>
          <w:p w:rsidR="00A31C64" w:rsidRPr="00A31C64" w:rsidRDefault="00A31C64" w:rsidP="00A31C64">
            <w:pPr>
              <w:jc w:val="center"/>
              <w:rPr>
                <w:b/>
              </w:rPr>
            </w:pPr>
            <w:r w:rsidRPr="00A31C64">
              <w:rPr>
                <w:b/>
              </w:rPr>
              <w:t>18 December 2017</w:t>
            </w:r>
          </w:p>
        </w:tc>
      </w:tr>
      <w:tr w:rsidR="000260B9" w:rsidRPr="00A31C64" w:rsidTr="000260B9">
        <w:trPr>
          <w:cantSplit/>
        </w:trPr>
        <w:tc>
          <w:tcPr>
            <w:tcW w:w="2165" w:type="dxa"/>
            <w:noWrap/>
            <w:tcMar>
              <w:top w:w="15" w:type="dxa"/>
              <w:left w:w="360" w:type="dxa"/>
              <w:bottom w:w="0" w:type="dxa"/>
              <w:right w:w="15" w:type="dxa"/>
            </w:tcMar>
          </w:tcPr>
          <w:p w:rsidR="000260B9" w:rsidRPr="00A31C64" w:rsidRDefault="00A31C64" w:rsidP="0028781C">
            <w:pPr>
              <w:spacing w:before="60"/>
              <w:ind w:firstLineChars="100" w:firstLine="241"/>
              <w:rPr>
                <w:b/>
              </w:rPr>
            </w:pPr>
            <w:r w:rsidRPr="00A31C64">
              <w:rPr>
                <w:b/>
              </w:rPr>
              <w:t>Form SA24</w:t>
            </w:r>
          </w:p>
        </w:tc>
        <w:tc>
          <w:tcPr>
            <w:tcW w:w="3827" w:type="dxa"/>
            <w:noWrap/>
            <w:tcMar>
              <w:top w:w="15" w:type="dxa"/>
              <w:left w:w="15" w:type="dxa"/>
              <w:bottom w:w="0" w:type="dxa"/>
              <w:right w:w="15" w:type="dxa"/>
            </w:tcMar>
          </w:tcPr>
          <w:p w:rsidR="000260B9" w:rsidRPr="00A31C64" w:rsidRDefault="00A31C64" w:rsidP="0028781C">
            <w:pPr>
              <w:spacing w:before="60" w:after="60"/>
              <w:jc w:val="center"/>
              <w:rPr>
                <w:b/>
              </w:rPr>
            </w:pPr>
            <w:r w:rsidRPr="00A31C64">
              <w:rPr>
                <w:b/>
              </w:rPr>
              <w:t>ins am02</w:t>
            </w:r>
          </w:p>
        </w:tc>
        <w:tc>
          <w:tcPr>
            <w:tcW w:w="3119" w:type="dxa"/>
            <w:noWrap/>
            <w:tcMar>
              <w:top w:w="15" w:type="dxa"/>
              <w:left w:w="15" w:type="dxa"/>
              <w:bottom w:w="0" w:type="dxa"/>
              <w:right w:w="15" w:type="dxa"/>
            </w:tcMar>
          </w:tcPr>
          <w:p w:rsidR="000260B9" w:rsidRPr="00A31C64" w:rsidRDefault="00A31C64" w:rsidP="0028781C">
            <w:pPr>
              <w:spacing w:before="60" w:after="60"/>
              <w:jc w:val="center"/>
              <w:rPr>
                <w:b/>
              </w:rPr>
            </w:pPr>
            <w:r w:rsidRPr="00A31C64">
              <w:rPr>
                <w:b/>
              </w:rPr>
              <w:t>18 December 2017</w:t>
            </w:r>
          </w:p>
        </w:tc>
      </w:tr>
      <w:tr w:rsidR="000260B9" w:rsidRPr="00A31C64" w:rsidTr="000260B9">
        <w:trPr>
          <w:cantSplit/>
        </w:trPr>
        <w:tc>
          <w:tcPr>
            <w:tcW w:w="2165" w:type="dxa"/>
            <w:noWrap/>
            <w:tcMar>
              <w:top w:w="15" w:type="dxa"/>
              <w:left w:w="360" w:type="dxa"/>
              <w:bottom w:w="0" w:type="dxa"/>
              <w:right w:w="15" w:type="dxa"/>
            </w:tcMar>
          </w:tcPr>
          <w:p w:rsidR="000260B9" w:rsidRPr="00A31C64" w:rsidRDefault="000260B9" w:rsidP="0028781C">
            <w:pPr>
              <w:spacing w:before="60"/>
              <w:ind w:firstLineChars="100" w:firstLine="240"/>
            </w:pPr>
          </w:p>
        </w:tc>
        <w:tc>
          <w:tcPr>
            <w:tcW w:w="3827" w:type="dxa"/>
            <w:noWrap/>
            <w:tcMar>
              <w:top w:w="15" w:type="dxa"/>
              <w:left w:w="15" w:type="dxa"/>
              <w:bottom w:w="0" w:type="dxa"/>
              <w:right w:w="15" w:type="dxa"/>
            </w:tcMar>
          </w:tcPr>
          <w:p w:rsidR="000260B9" w:rsidRPr="00A31C64" w:rsidRDefault="000260B9" w:rsidP="0028781C">
            <w:pPr>
              <w:spacing w:before="60" w:after="60"/>
              <w:jc w:val="center"/>
            </w:pPr>
            <w:bookmarkStart w:id="87" w:name="_GoBack"/>
            <w:bookmarkEnd w:id="87"/>
          </w:p>
        </w:tc>
        <w:tc>
          <w:tcPr>
            <w:tcW w:w="3119" w:type="dxa"/>
            <w:noWrap/>
            <w:tcMar>
              <w:top w:w="15" w:type="dxa"/>
              <w:left w:w="15" w:type="dxa"/>
              <w:bottom w:w="0" w:type="dxa"/>
              <w:right w:w="15" w:type="dxa"/>
            </w:tcMar>
          </w:tcPr>
          <w:p w:rsidR="000260B9" w:rsidRPr="00A31C64" w:rsidRDefault="000260B9" w:rsidP="0028781C">
            <w:pPr>
              <w:spacing w:before="60" w:after="60"/>
              <w:jc w:val="center"/>
            </w:pPr>
          </w:p>
        </w:tc>
      </w:tr>
      <w:tr w:rsidR="000260B9" w:rsidRPr="00A31C64" w:rsidTr="000260B9">
        <w:trPr>
          <w:cantSplit/>
        </w:trPr>
        <w:tc>
          <w:tcPr>
            <w:tcW w:w="2165" w:type="dxa"/>
            <w:noWrap/>
            <w:tcMar>
              <w:top w:w="15" w:type="dxa"/>
              <w:left w:w="360" w:type="dxa"/>
              <w:bottom w:w="0" w:type="dxa"/>
              <w:right w:w="15" w:type="dxa"/>
            </w:tcMar>
          </w:tcPr>
          <w:p w:rsidR="000260B9" w:rsidRPr="00A31C64" w:rsidRDefault="000260B9" w:rsidP="0028781C">
            <w:pPr>
              <w:spacing w:before="60"/>
              <w:ind w:firstLineChars="100" w:firstLine="240"/>
            </w:pPr>
          </w:p>
        </w:tc>
        <w:tc>
          <w:tcPr>
            <w:tcW w:w="3827" w:type="dxa"/>
            <w:noWrap/>
            <w:tcMar>
              <w:top w:w="15" w:type="dxa"/>
              <w:left w:w="15" w:type="dxa"/>
              <w:bottom w:w="0" w:type="dxa"/>
              <w:right w:w="15" w:type="dxa"/>
            </w:tcMar>
          </w:tcPr>
          <w:p w:rsidR="000260B9" w:rsidRPr="00A31C64" w:rsidRDefault="000260B9" w:rsidP="0028781C">
            <w:pPr>
              <w:spacing w:before="60" w:after="60"/>
              <w:jc w:val="center"/>
            </w:pPr>
          </w:p>
        </w:tc>
        <w:tc>
          <w:tcPr>
            <w:tcW w:w="3119" w:type="dxa"/>
            <w:noWrap/>
            <w:tcMar>
              <w:top w:w="15" w:type="dxa"/>
              <w:left w:w="15" w:type="dxa"/>
              <w:bottom w:w="0" w:type="dxa"/>
              <w:right w:w="15" w:type="dxa"/>
            </w:tcMar>
          </w:tcPr>
          <w:p w:rsidR="000260B9" w:rsidRPr="00A31C64" w:rsidRDefault="000260B9" w:rsidP="0028781C">
            <w:pPr>
              <w:spacing w:before="60" w:after="60"/>
              <w:jc w:val="center"/>
            </w:pPr>
          </w:p>
        </w:tc>
      </w:tr>
      <w:tr w:rsidR="000260B9" w:rsidRPr="00A31C64" w:rsidTr="000260B9">
        <w:trPr>
          <w:cantSplit/>
        </w:trPr>
        <w:tc>
          <w:tcPr>
            <w:tcW w:w="2165" w:type="dxa"/>
            <w:noWrap/>
            <w:tcMar>
              <w:top w:w="15" w:type="dxa"/>
              <w:left w:w="360" w:type="dxa"/>
              <w:bottom w:w="0" w:type="dxa"/>
              <w:right w:w="15" w:type="dxa"/>
            </w:tcMar>
          </w:tcPr>
          <w:p w:rsidR="000260B9" w:rsidRPr="00A31C64" w:rsidRDefault="000260B9" w:rsidP="0028781C">
            <w:pPr>
              <w:spacing w:before="60"/>
              <w:ind w:firstLineChars="100" w:firstLine="240"/>
            </w:pPr>
          </w:p>
        </w:tc>
        <w:tc>
          <w:tcPr>
            <w:tcW w:w="3827" w:type="dxa"/>
            <w:noWrap/>
            <w:tcMar>
              <w:top w:w="15" w:type="dxa"/>
              <w:left w:w="15" w:type="dxa"/>
              <w:bottom w:w="0" w:type="dxa"/>
              <w:right w:w="15" w:type="dxa"/>
            </w:tcMar>
          </w:tcPr>
          <w:p w:rsidR="000260B9" w:rsidRPr="00A31C64" w:rsidRDefault="000260B9" w:rsidP="0028781C">
            <w:pPr>
              <w:spacing w:before="60" w:after="60"/>
              <w:jc w:val="center"/>
            </w:pPr>
          </w:p>
        </w:tc>
        <w:tc>
          <w:tcPr>
            <w:tcW w:w="3119" w:type="dxa"/>
            <w:noWrap/>
            <w:tcMar>
              <w:top w:w="15" w:type="dxa"/>
              <w:left w:w="15" w:type="dxa"/>
              <w:bottom w:w="0" w:type="dxa"/>
              <w:right w:w="15" w:type="dxa"/>
            </w:tcMar>
          </w:tcPr>
          <w:p w:rsidR="000260B9" w:rsidRPr="00A31C64" w:rsidRDefault="000260B9" w:rsidP="0028781C">
            <w:pPr>
              <w:spacing w:before="60" w:after="60"/>
              <w:jc w:val="center"/>
            </w:pPr>
          </w:p>
        </w:tc>
      </w:tr>
      <w:tr w:rsidR="000260B9" w:rsidRPr="00A31C64" w:rsidTr="000260B9">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0260B9" w:rsidRPr="00A31C64" w:rsidRDefault="000260B9" w:rsidP="0028781C">
            <w:pPr>
              <w:spacing w:before="60"/>
              <w:ind w:firstLineChars="100" w:firstLine="240"/>
            </w:pP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260B9" w:rsidRPr="00A31C64" w:rsidRDefault="000260B9" w:rsidP="0028781C">
            <w:pPr>
              <w:spacing w:before="60" w:after="60"/>
              <w:jc w:val="center"/>
            </w:pP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260B9" w:rsidRPr="00A31C64" w:rsidRDefault="000260B9" w:rsidP="0028781C">
            <w:pPr>
              <w:spacing w:before="60" w:after="60"/>
              <w:jc w:val="center"/>
            </w:pPr>
          </w:p>
        </w:tc>
      </w:tr>
    </w:tbl>
    <w:p w:rsidR="00C532D5" w:rsidRDefault="00C532D5" w:rsidP="000260B9">
      <w:pPr>
        <w:pStyle w:val="Hangindent"/>
        <w:ind w:left="567"/>
        <w:rPr>
          <w:lang w:val="en-US"/>
        </w:rPr>
      </w:pPr>
    </w:p>
    <w:sectPr w:rsidR="00C532D5" w:rsidSect="00C532D5">
      <w:footerReference w:type="default" r:id="rId6"/>
      <w:pgSz w:w="12240" w:h="15840"/>
      <w:pgMar w:top="1440" w:right="1134" w:bottom="1440"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511" w:rsidRDefault="00B36511" w:rsidP="004B2F8B">
      <w:r>
        <w:separator/>
      </w:r>
    </w:p>
  </w:endnote>
  <w:endnote w:type="continuationSeparator" w:id="0">
    <w:p w:rsidR="00B36511" w:rsidRDefault="00B36511" w:rsidP="004B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F8B" w:rsidRDefault="004B2F8B">
    <w:pPr>
      <w:pStyle w:val="Footer"/>
      <w:rPr>
        <w:lang w:val="en-AU"/>
      </w:rPr>
    </w:pPr>
    <w:r>
      <w:rPr>
        <w:lang w:val="en-AU"/>
      </w:rPr>
      <w:t>_________________________________________________________________________</w:t>
    </w:r>
  </w:p>
  <w:p w:rsidR="004B2F8B" w:rsidRPr="004B2F8B" w:rsidRDefault="004B2F8B">
    <w:pPr>
      <w:pStyle w:val="Footer"/>
      <w:rPr>
        <w:sz w:val="22"/>
        <w:szCs w:val="22"/>
        <w:lang w:val="en-AU"/>
      </w:rPr>
    </w:pPr>
    <w:r w:rsidRPr="004B2F8B">
      <w:rPr>
        <w:sz w:val="22"/>
        <w:szCs w:val="22"/>
        <w:lang w:val="en-AU"/>
      </w:rPr>
      <w:t>District Court Special Applications Supplementary Rules 2014</w:t>
    </w:r>
  </w:p>
  <w:p w:rsidR="004B2F8B" w:rsidRPr="004B2F8B" w:rsidRDefault="00A31C64">
    <w:pPr>
      <w:pStyle w:val="Footer"/>
      <w:rPr>
        <w:sz w:val="22"/>
        <w:szCs w:val="22"/>
        <w:lang w:val="en-AU"/>
      </w:rPr>
    </w:pPr>
    <w:r>
      <w:rPr>
        <w:sz w:val="22"/>
        <w:szCs w:val="22"/>
        <w:lang w:val="en-AU"/>
      </w:rPr>
      <w:t>Current to 18</w:t>
    </w:r>
    <w:r w:rsidR="004B2F8B" w:rsidRPr="004B2F8B">
      <w:rPr>
        <w:sz w:val="22"/>
        <w:szCs w:val="22"/>
        <w:lang w:val="en-AU"/>
      </w:rPr>
      <w:t xml:space="preserve"> </w:t>
    </w:r>
    <w:r>
      <w:rPr>
        <w:sz w:val="22"/>
        <w:szCs w:val="22"/>
        <w:lang w:val="en-AU"/>
      </w:rPr>
      <w:t>December 2017 (Amendment No. 2</w:t>
    </w:r>
    <w:r w:rsidR="0064086C">
      <w:rPr>
        <w:sz w:val="22"/>
        <w:szCs w:val="22"/>
        <w:lang w:val="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511" w:rsidRDefault="00B36511" w:rsidP="004B2F8B">
      <w:r>
        <w:separator/>
      </w:r>
    </w:p>
  </w:footnote>
  <w:footnote w:type="continuationSeparator" w:id="0">
    <w:p w:rsidR="00B36511" w:rsidRDefault="00B36511" w:rsidP="004B2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532D5"/>
    <w:rsid w:val="000260B9"/>
    <w:rsid w:val="00091A34"/>
    <w:rsid w:val="000F0EF3"/>
    <w:rsid w:val="00441965"/>
    <w:rsid w:val="004B2F8B"/>
    <w:rsid w:val="0059553C"/>
    <w:rsid w:val="0064086C"/>
    <w:rsid w:val="008F7AA0"/>
    <w:rsid w:val="00A31C64"/>
    <w:rsid w:val="00B36511"/>
    <w:rsid w:val="00C532D5"/>
    <w:rsid w:val="00D3677E"/>
    <w:rsid w:val="00D64A7E"/>
    <w:rsid w:val="00D900FD"/>
    <w:rsid w:val="00FB2A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56B3CB-EF27-433B-B715-6BBC9550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2D5"/>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next w:val="Part"/>
    <w:qFormat/>
    <w:rsid w:val="00C532D5"/>
    <w:pPr>
      <w:keepNext/>
      <w:keepLines/>
      <w:autoSpaceDE w:val="0"/>
      <w:autoSpaceDN w:val="0"/>
      <w:adjustRightInd w:val="0"/>
      <w:spacing w:before="280"/>
      <w:ind w:left="567" w:hanging="567"/>
    </w:pPr>
    <w:rPr>
      <w:b/>
      <w:bCs/>
      <w:color w:val="000000"/>
      <w:sz w:val="34"/>
      <w:szCs w:val="34"/>
      <w:lang w:val="en-US"/>
    </w:rPr>
  </w:style>
  <w:style w:type="paragraph" w:customStyle="1" w:styleId="Part">
    <w:name w:val="Part"/>
    <w:basedOn w:val="Normal"/>
    <w:next w:val="Normal"/>
    <w:qFormat/>
    <w:rsid w:val="00C532D5"/>
    <w:pPr>
      <w:keepNext/>
      <w:autoSpaceDE w:val="0"/>
      <w:autoSpaceDN w:val="0"/>
      <w:adjustRightInd w:val="0"/>
      <w:spacing w:before="280"/>
      <w:ind w:left="567" w:hanging="567"/>
    </w:pPr>
    <w:rPr>
      <w:b/>
      <w:bCs/>
      <w:color w:val="000000"/>
      <w:sz w:val="32"/>
      <w:szCs w:val="32"/>
      <w:lang w:val="en-US"/>
    </w:rPr>
  </w:style>
  <w:style w:type="paragraph" w:customStyle="1" w:styleId="clausehead">
    <w:name w:val="clausehead"/>
    <w:next w:val="Hangindent"/>
    <w:qFormat/>
    <w:rsid w:val="00C532D5"/>
    <w:pPr>
      <w:keepNext/>
      <w:keepLines/>
      <w:autoSpaceDE w:val="0"/>
      <w:autoSpaceDN w:val="0"/>
      <w:adjustRightInd w:val="0"/>
      <w:spacing w:before="160"/>
      <w:ind w:left="567" w:hanging="567"/>
    </w:pPr>
    <w:rPr>
      <w:b/>
      <w:bCs/>
      <w:color w:val="000000"/>
      <w:sz w:val="26"/>
      <w:szCs w:val="26"/>
      <w:lang w:eastAsia="en-US"/>
    </w:rPr>
  </w:style>
  <w:style w:type="paragraph" w:customStyle="1" w:styleId="Hangindent">
    <w:name w:val="Hang indent"/>
    <w:basedOn w:val="Normal"/>
    <w:qFormat/>
    <w:rsid w:val="00C532D5"/>
    <w:pPr>
      <w:spacing w:after="120"/>
      <w:ind w:left="1418" w:hanging="567"/>
    </w:pPr>
    <w:rPr>
      <w:rFonts w:eastAsia="Calibri"/>
      <w:sz w:val="23"/>
      <w:szCs w:val="23"/>
      <w:lang w:val="en-AU"/>
    </w:rPr>
  </w:style>
  <w:style w:type="paragraph" w:customStyle="1" w:styleId="IndentedPara">
    <w:name w:val="IndentedPara"/>
    <w:basedOn w:val="Normal"/>
    <w:next w:val="Hangindent"/>
    <w:qFormat/>
    <w:rsid w:val="00C532D5"/>
    <w:pPr>
      <w:tabs>
        <w:tab w:val="left" w:pos="851"/>
      </w:tabs>
      <w:autoSpaceDE w:val="0"/>
      <w:autoSpaceDN w:val="0"/>
      <w:adjustRightInd w:val="0"/>
      <w:spacing w:before="120" w:after="120"/>
      <w:ind w:left="851"/>
    </w:pPr>
    <w:rPr>
      <w:color w:val="000000"/>
      <w:sz w:val="23"/>
      <w:szCs w:val="23"/>
      <w:lang w:val="en-US"/>
    </w:rPr>
  </w:style>
  <w:style w:type="paragraph" w:styleId="Header">
    <w:name w:val="header"/>
    <w:basedOn w:val="Normal"/>
    <w:link w:val="HeaderChar"/>
    <w:uiPriority w:val="99"/>
    <w:unhideWhenUsed/>
    <w:rsid w:val="004B2F8B"/>
    <w:pPr>
      <w:tabs>
        <w:tab w:val="center" w:pos="4513"/>
        <w:tab w:val="right" w:pos="9026"/>
      </w:tabs>
    </w:pPr>
  </w:style>
  <w:style w:type="character" w:customStyle="1" w:styleId="HeaderChar">
    <w:name w:val="Header Char"/>
    <w:basedOn w:val="DefaultParagraphFont"/>
    <w:link w:val="Header"/>
    <w:uiPriority w:val="99"/>
    <w:rsid w:val="004B2F8B"/>
    <w:rPr>
      <w:sz w:val="24"/>
      <w:szCs w:val="24"/>
      <w:lang w:val="en-GB" w:eastAsia="en-US"/>
    </w:rPr>
  </w:style>
  <w:style w:type="paragraph" w:styleId="Footer">
    <w:name w:val="footer"/>
    <w:basedOn w:val="Normal"/>
    <w:link w:val="FooterChar"/>
    <w:uiPriority w:val="99"/>
    <w:unhideWhenUsed/>
    <w:rsid w:val="004B2F8B"/>
    <w:pPr>
      <w:tabs>
        <w:tab w:val="center" w:pos="4513"/>
        <w:tab w:val="right" w:pos="9026"/>
      </w:tabs>
    </w:pPr>
  </w:style>
  <w:style w:type="character" w:customStyle="1" w:styleId="FooterChar">
    <w:name w:val="Footer Char"/>
    <w:basedOn w:val="DefaultParagraphFont"/>
    <w:link w:val="Footer"/>
    <w:uiPriority w:val="99"/>
    <w:rsid w:val="004B2F8B"/>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soffice\template\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ED9E48-8482-4A50-8160-03674A0D063D}"/>
</file>

<file path=customXml/itemProps2.xml><?xml version="1.0" encoding="utf-8"?>
<ds:datastoreItem xmlns:ds="http://schemas.openxmlformats.org/officeDocument/2006/customXml" ds:itemID="{9AE15203-754C-4612-8BF8-A925D16B5687}"/>
</file>

<file path=customXml/itemProps3.xml><?xml version="1.0" encoding="utf-8"?>
<ds:datastoreItem xmlns:ds="http://schemas.openxmlformats.org/officeDocument/2006/customXml" ds:itemID="{2F890FF8-F87C-4D45-B023-AD0D938C1B1A}"/>
</file>

<file path=docProps/app.xml><?xml version="1.0" encoding="utf-8"?>
<Properties xmlns="http://schemas.openxmlformats.org/officeDocument/2006/extended-properties" xmlns:vt="http://schemas.openxmlformats.org/officeDocument/2006/docPropsVTypes">
  <Template>normal.dot</Template>
  <TotalTime>1</TotalTime>
  <Pages>2</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Special Applications Supplementary Rules 2014</dc:title>
  <dc:description>current to Amendment No. 2 effective 18 December 2017</dc:description>
  <dcterms:created xsi:type="dcterms:W3CDTF">2017-12-08T00:33:00Z</dcterms:created>
  <dcterms:modified xsi:type="dcterms:W3CDTF">2017-12-08T00:33:00Z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A151031</vt:lpwstr>
  </property>
  <property fmtid="{D5CDD505-2E9C-101B-9397-08002B2CF9AE}" pid="4" name="Objective-Title">
    <vt:lpwstr>District Court Special Applications Supplementary Rules 2014</vt:lpwstr>
  </property>
  <property fmtid="{D5CDD505-2E9C-101B-9397-08002B2CF9AE}" pid="5" name="Objective-Comment">
    <vt:lpwstr/>
  </property>
  <property fmtid="{D5CDD505-2E9C-101B-9397-08002B2CF9AE}" pid="6" name="Objective-CreationStamp">
    <vt:filetime>2014-09-23T03:55:50Z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2014-09-23T06:02:03Z</vt:filetime>
  </property>
  <property fmtid="{D5CDD505-2E9C-101B-9397-08002B2CF9AE}" pid="10" name="Objective-ModificationStamp">
    <vt:filetime>2015-04-02T02:13:53Z</vt:filetime>
  </property>
  <property fmtid="{D5CDD505-2E9C-101B-9397-08002B2CF9AE}" pid="11" name="Objective-Owner">
    <vt:lpwstr>Wendy Pfoertsch</vt:lpwstr>
  </property>
  <property fmtid="{D5CDD505-2E9C-101B-9397-08002B2CF9AE}" pid="12" name="Objective-Path">
    <vt:lpwstr>Objective Global Folder:_ DISTRICT COURT:COURT RULES &amp; PRACTICE DIRECTIONS:Rules of Court:Rules of Court - District Court  - Current:District Court Special Applications Supplementary Rules 2014:Master Copies - District Court Special Applications Supplemen</vt:lpwstr>
  </property>
  <property fmtid="{D5CDD505-2E9C-101B-9397-08002B2CF9AE}" pid="13" name="Objective-Parent">
    <vt:lpwstr>Master Copies - District Court Special Applications Supplementary Rules 2014</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CRF2015/00175</vt:lpwstr>
  </property>
  <property fmtid="{D5CDD505-2E9C-101B-9397-08002B2CF9AE}" pid="19" name="Objective-Classification">
    <vt:lpwstr>[Inherited - none]</vt:lpwstr>
  </property>
  <property fmtid="{D5CDD505-2E9C-101B-9397-08002B2CF9AE}" pid="20" name="Objective-Caveats">
    <vt:lpwstr/>
  </property>
</Properties>
</file>